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DA73" w14:textId="471C44D2" w:rsidR="00BB3E91" w:rsidRDefault="00BB3E91" w:rsidP="00E65215">
      <w:pPr>
        <w:pStyle w:val="Title"/>
      </w:pPr>
      <w:r>
        <w:rPr>
          <w:noProof/>
        </w:rPr>
        <w:drawing>
          <wp:inline distT="0" distB="0" distL="0" distR="0" wp14:anchorId="2288F98B" wp14:editId="6D8C876A">
            <wp:extent cx="3371637" cy="11899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ab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25" cy="120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EB54" w14:textId="7D273A46" w:rsidR="00825E21" w:rsidRPr="00BB3E91" w:rsidRDefault="00E65215" w:rsidP="00BB3E91">
      <w:pPr>
        <w:pStyle w:val="Title"/>
        <w:jc w:val="center"/>
        <w:rPr>
          <w:b/>
        </w:rPr>
      </w:pPr>
      <w:r w:rsidRPr="00BB3E91">
        <w:rPr>
          <w:b/>
        </w:rPr>
        <w:t>Summative Course Review</w:t>
      </w:r>
    </w:p>
    <w:p w14:paraId="64F39DA4" w14:textId="23095427" w:rsidR="00E65215" w:rsidRPr="007A00E0" w:rsidRDefault="007A00E0" w:rsidP="00E65215">
      <w:pPr>
        <w:pStyle w:val="Heading1"/>
        <w:rPr>
          <w:b/>
          <w:color w:val="auto"/>
        </w:rPr>
      </w:pPr>
      <w:r w:rsidRPr="007A00E0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E327C" wp14:editId="0E6D98D3">
                <wp:simplePos x="0" y="0"/>
                <wp:positionH relativeFrom="column">
                  <wp:posOffset>-95250</wp:posOffset>
                </wp:positionH>
                <wp:positionV relativeFrom="paragraph">
                  <wp:posOffset>156211</wp:posOffset>
                </wp:positionV>
                <wp:extent cx="2524125" cy="2667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66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3" style="position:absolute;margin-left:-7.5pt;margin-top:12.3pt;width:198.7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color="#1f3763 [1604]" strokeweight="1pt" arcsize="10923f" w14:anchorId="61BB7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">
                <v:stroke joinstyle="miter"/>
              </v:roundrect>
            </w:pict>
          </mc:Fallback>
        </mc:AlternateContent>
      </w:r>
      <w:r w:rsidR="00E65215" w:rsidRPr="007A00E0">
        <w:rPr>
          <w:b/>
          <w:color w:val="auto"/>
        </w:rPr>
        <w:t>Part I. Faculty Self-Reflection</w:t>
      </w:r>
    </w:p>
    <w:p w14:paraId="3854BEA7" w14:textId="77777777" w:rsidR="007A00E0" w:rsidRDefault="007A00E0" w:rsidP="00E65215"/>
    <w:p w14:paraId="2501F626" w14:textId="2622EEAD" w:rsidR="00E65215" w:rsidRPr="00F1093D" w:rsidRDefault="00EE1888" w:rsidP="00E65215">
      <w:pPr>
        <w:rPr>
          <w:rStyle w:val="IntenseEmphasis"/>
          <w:color w:val="002060"/>
        </w:rPr>
      </w:pPr>
      <w:r w:rsidRPr="00F1093D">
        <w:rPr>
          <w:rStyle w:val="IntenseEmphasis"/>
          <w:color w:val="002060"/>
        </w:rPr>
        <w:t>Please</w:t>
      </w:r>
      <w:r w:rsidR="00E65215" w:rsidRPr="00F1093D">
        <w:rPr>
          <w:rStyle w:val="IntenseEmphasis"/>
          <w:color w:val="002060"/>
        </w:rPr>
        <w:t xml:space="preserve"> complete this section and share with your Instructional Designer.</w:t>
      </w:r>
    </w:p>
    <w:p w14:paraId="0BAA8444" w14:textId="77777777" w:rsidR="00E65215" w:rsidRDefault="00E65215" w:rsidP="00E65215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1888" w14:paraId="1895501E" w14:textId="77777777" w:rsidTr="00EE1888">
        <w:tc>
          <w:tcPr>
            <w:tcW w:w="4675" w:type="dxa"/>
          </w:tcPr>
          <w:p w14:paraId="738E05CA" w14:textId="77777777" w:rsidR="00EE1888" w:rsidRDefault="00EE1888" w:rsidP="00EE1888">
            <w:pPr>
              <w:spacing w:after="120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A810E0C" w14:textId="77777777" w:rsidR="00EE1888" w:rsidRDefault="00EE1888" w:rsidP="00EE1888">
            <w:pPr>
              <w:spacing w:after="120"/>
            </w:pPr>
            <w:r>
              <w:t xml:space="preserve">Department: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40498FC" w14:textId="77777777" w:rsidR="00EE1888" w:rsidRDefault="00EE1888" w:rsidP="00EE1888">
            <w:pPr>
              <w:spacing w:after="120"/>
            </w:pPr>
            <w:r>
              <w:t xml:space="preserve">College: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E2775B0" w14:textId="77777777" w:rsidR="00EE1888" w:rsidRDefault="00780C56" w:rsidP="00EE1888">
            <w:pPr>
              <w:spacing w:after="120"/>
            </w:pPr>
            <w:r>
              <w:t xml:space="preserve">Department Chair: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2DEC71" w14:textId="4ADACDCF" w:rsidR="00780C56" w:rsidRDefault="00780C56" w:rsidP="00EE1888">
            <w:pPr>
              <w:spacing w:after="120"/>
            </w:pPr>
          </w:p>
        </w:tc>
        <w:tc>
          <w:tcPr>
            <w:tcW w:w="4675" w:type="dxa"/>
          </w:tcPr>
          <w:p w14:paraId="5B8825B1" w14:textId="77777777" w:rsidR="00EE1888" w:rsidRDefault="00EE1888" w:rsidP="00EE1888">
            <w:pPr>
              <w:spacing w:after="120"/>
            </w:pPr>
            <w:r>
              <w:t xml:space="preserve">Course Number: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11AEB25" w14:textId="77777777" w:rsidR="00EE1888" w:rsidRDefault="00EE1888" w:rsidP="00EE1888">
            <w:pPr>
              <w:spacing w:after="120"/>
            </w:pPr>
            <w:r>
              <w:t xml:space="preserve">Course Title: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0BB96E0" w14:textId="77777777" w:rsidR="00EE1888" w:rsidRDefault="00EE1888" w:rsidP="00EE1888">
            <w:pPr>
              <w:spacing w:after="120"/>
            </w:pPr>
            <w:r>
              <w:t xml:space="preserve">Semester to be Taught in New Format: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BD4AA48" w14:textId="77777777" w:rsidR="00EE1888" w:rsidRDefault="00EE1888" w:rsidP="00EE1888">
            <w:pPr>
              <w:spacing w:after="120"/>
            </w:pPr>
          </w:p>
        </w:tc>
      </w:tr>
      <w:tr w:rsidR="00EE1888" w14:paraId="4AE8F65F" w14:textId="77777777" w:rsidTr="00EE1888">
        <w:tc>
          <w:tcPr>
            <w:tcW w:w="4675" w:type="dxa"/>
          </w:tcPr>
          <w:p w14:paraId="2F65CF77" w14:textId="77777777" w:rsidR="00EE1888" w:rsidRDefault="00EE1888" w:rsidP="00EE1888">
            <w:pPr>
              <w:spacing w:after="120"/>
            </w:pPr>
            <w:r>
              <w:t>New Course Modality:</w:t>
            </w:r>
          </w:p>
          <w:p w14:paraId="6FD4D362" w14:textId="77777777" w:rsidR="00EE1888" w:rsidRP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D437EA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EE1888">
              <w:t>Reduced Seat Active (RA)</w:t>
            </w:r>
          </w:p>
          <w:p w14:paraId="52BE378F" w14:textId="77777777" w:rsidR="00EE1888" w:rsidRP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D437EA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EE1888">
              <w:t>Mixed Mode (M)</w:t>
            </w:r>
          </w:p>
          <w:p w14:paraId="66664496" w14:textId="77777777" w:rsid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D437EA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EE1888">
              <w:t>Fully Online (W)</w:t>
            </w:r>
          </w:p>
          <w:p w14:paraId="322C7585" w14:textId="6A13F906" w:rsidR="00311542" w:rsidRPr="00EE1888" w:rsidRDefault="00311542" w:rsidP="00311542">
            <w:pPr>
              <w:spacing w:after="120"/>
              <w:ind w:left="7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37EA">
              <w:fldChar w:fldCharType="separate"/>
            </w:r>
            <w:r>
              <w:fldChar w:fldCharType="end"/>
            </w:r>
            <w:r>
              <w:t xml:space="preserve"> Face-to-Face (P</w:t>
            </w:r>
            <w:r w:rsidRPr="00EE1888">
              <w:t>)</w:t>
            </w:r>
          </w:p>
          <w:p w14:paraId="332F5F13" w14:textId="77777777" w:rsidR="00EE1888" w:rsidRDefault="00EE1888" w:rsidP="00EE1888">
            <w:pPr>
              <w:spacing w:after="120"/>
            </w:pPr>
          </w:p>
        </w:tc>
        <w:tc>
          <w:tcPr>
            <w:tcW w:w="4675" w:type="dxa"/>
          </w:tcPr>
          <w:p w14:paraId="62C266E3" w14:textId="77777777" w:rsidR="00EE1888" w:rsidRDefault="00EE1888" w:rsidP="00EE1888">
            <w:pPr>
              <w:spacing w:after="120"/>
            </w:pPr>
            <w:r>
              <w:t>Additional Attributes:</w:t>
            </w:r>
          </w:p>
          <w:p w14:paraId="56F20B79" w14:textId="77777777" w:rsidR="00EE1888" w:rsidRP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D437EA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Pr="00EE1888">
              <w:t>Personal Adaptive Learning (PAL)</w:t>
            </w:r>
          </w:p>
          <w:p w14:paraId="1EAF0836" w14:textId="77777777" w:rsidR="00EE1888" w:rsidRP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D437EA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Pr="00EE1888">
              <w:t>Active Learning</w:t>
            </w:r>
          </w:p>
          <w:p w14:paraId="75D34210" w14:textId="77777777" w:rsidR="00F53934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D437EA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EE1888">
              <w:t>Open Educational Resources (OER)</w:t>
            </w:r>
          </w:p>
          <w:p w14:paraId="3B5F1D04" w14:textId="562CCE4F" w:rsidR="00EE1888" w:rsidRDefault="00F53934" w:rsidP="00EE1888">
            <w:pPr>
              <w:spacing w:after="120"/>
              <w:ind w:left="7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instrText xml:space="preserve"> FORMCHECKBOX </w:instrText>
            </w:r>
            <w:r w:rsidR="00D437EA">
              <w:fldChar w:fldCharType="separate"/>
            </w:r>
            <w:r>
              <w:fldChar w:fldCharType="end"/>
            </w:r>
            <w:bookmarkEnd w:id="12"/>
            <w:r w:rsidR="00EE1888" w:rsidRPr="00EE1888">
              <w:t xml:space="preserve"> e-</w:t>
            </w:r>
            <w:r>
              <w:t>T</w:t>
            </w:r>
            <w:r w:rsidR="00EE1888" w:rsidRPr="00EE1888">
              <w:t>extbook</w:t>
            </w:r>
          </w:p>
        </w:tc>
      </w:tr>
    </w:tbl>
    <w:p w14:paraId="1057C884" w14:textId="33F8258B" w:rsidR="00E65215" w:rsidRPr="00943697" w:rsidRDefault="00EE1888" w:rsidP="00EE1888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Please reflect on how your course redesign will impact student success in 250 words or less. In your explanation please address the following two questions:</w:t>
      </w:r>
    </w:p>
    <w:p w14:paraId="51C517D7" w14:textId="13E7B6A6" w:rsidR="00EE1888" w:rsidRDefault="00EE1888" w:rsidP="0063725D">
      <w:pPr>
        <w:pStyle w:val="ListParagraph"/>
        <w:numPr>
          <w:ilvl w:val="0"/>
          <w:numId w:val="8"/>
        </w:numPr>
      </w:pPr>
      <w:r w:rsidRPr="00FF002A">
        <w:t>How did you implement online, blended, adaptive, and/or active learning strategies</w:t>
      </w:r>
      <w:r>
        <w:t>?</w:t>
      </w:r>
    </w:p>
    <w:p w14:paraId="150D14ED" w14:textId="77739879" w:rsidR="00EE1888" w:rsidRDefault="00EE1888" w:rsidP="0063725D">
      <w:pPr>
        <w:pStyle w:val="ListParagraph"/>
        <w:numPr>
          <w:ilvl w:val="0"/>
          <w:numId w:val="8"/>
        </w:numPr>
      </w:pPr>
      <w:r>
        <w:t>Which of the following goals of the initiative does your new course design address?</w:t>
      </w:r>
    </w:p>
    <w:p w14:paraId="31E87CA0" w14:textId="77777777" w:rsidR="00EE1888" w:rsidRPr="00EE1888" w:rsidRDefault="65D2CBAF" w:rsidP="0063725D">
      <w:pPr>
        <w:pStyle w:val="ListParagraph"/>
        <w:numPr>
          <w:ilvl w:val="0"/>
          <w:numId w:val="9"/>
        </w:numPr>
      </w:pPr>
      <w:r>
        <w:t xml:space="preserve">Increasing successful completion rates in benchmark courses </w:t>
      </w:r>
    </w:p>
    <w:p w14:paraId="3F01C644" w14:textId="1F802264" w:rsidR="00EE1888" w:rsidRPr="00EE1888" w:rsidRDefault="65D2CBAF" w:rsidP="0063725D">
      <w:pPr>
        <w:pStyle w:val="ListParagraph"/>
        <w:numPr>
          <w:ilvl w:val="0"/>
          <w:numId w:val="9"/>
        </w:numPr>
      </w:pPr>
      <w:r>
        <w:t xml:space="preserve">Improving student success, retention, and satisfaction </w:t>
      </w:r>
    </w:p>
    <w:p w14:paraId="421FE4C3" w14:textId="404C5779" w:rsidR="00EE1888" w:rsidRPr="00EE1888" w:rsidRDefault="65D2CBAF" w:rsidP="0063725D">
      <w:pPr>
        <w:pStyle w:val="ListParagraph"/>
        <w:numPr>
          <w:ilvl w:val="0"/>
          <w:numId w:val="9"/>
        </w:numPr>
      </w:pPr>
      <w:r>
        <w:t xml:space="preserve">Targeting key courses such as success marker, foundation, and STEM </w:t>
      </w:r>
    </w:p>
    <w:p w14:paraId="12B42BD3" w14:textId="46F838ED" w:rsidR="00E65215" w:rsidRDefault="65D2CBAF" w:rsidP="0063725D">
      <w:pPr>
        <w:pStyle w:val="ListParagraph"/>
        <w:numPr>
          <w:ilvl w:val="0"/>
          <w:numId w:val="9"/>
        </w:numPr>
      </w:pPr>
      <w:r>
        <w:t xml:space="preserve">Increasing classroom utilization </w:t>
      </w:r>
    </w:p>
    <w:p w14:paraId="2BCB05AE" w14:textId="77777777" w:rsidR="00493569" w:rsidRDefault="00493569" w:rsidP="00493569"/>
    <w:p w14:paraId="35B1931D" w14:textId="5C8E7FEE" w:rsidR="00493569" w:rsidRDefault="00493569" w:rsidP="00493569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E6922AA" w14:textId="77777777" w:rsidR="00493569" w:rsidRDefault="00493569" w:rsidP="00493569"/>
    <w:p w14:paraId="4333EC70" w14:textId="4A7DFD0C" w:rsidR="00BB3E91" w:rsidRDefault="00BB3E91" w:rsidP="13E89684"/>
    <w:p w14:paraId="5E619F9B" w14:textId="77777777" w:rsidR="00FB444D" w:rsidRDefault="00FB444D" w:rsidP="13E89684">
      <w:bookmarkStart w:id="14" w:name="_GoBack"/>
      <w:bookmarkEnd w:id="14"/>
    </w:p>
    <w:p w14:paraId="1B454129" w14:textId="662AA7B8" w:rsidR="00311542" w:rsidRPr="00943697" w:rsidRDefault="13E89684" w:rsidP="13E89684">
      <w:pPr>
        <w:rPr>
          <w:rStyle w:val="IntenseEmphasis"/>
          <w:b/>
        </w:rPr>
      </w:pPr>
      <w:r w:rsidRPr="00943697">
        <w:rPr>
          <w:rStyle w:val="IntenseEmphasis"/>
          <w:color w:val="002060"/>
        </w:rPr>
        <w:lastRenderedPageBreak/>
        <w:t xml:space="preserve">Please </w:t>
      </w:r>
      <w:r w:rsidR="00311542" w:rsidRPr="00943697">
        <w:rPr>
          <w:rStyle w:val="IntenseEmphasis"/>
          <w:color w:val="002060"/>
        </w:rPr>
        <w:t>describe how your course has changed as a result of the redesign process.</w:t>
      </w:r>
      <w:r w:rsidR="000B3F3C" w:rsidRPr="00943697">
        <w:rPr>
          <w:rStyle w:val="IntenseEmphasis"/>
          <w:color w:val="002060"/>
        </w:rPr>
        <w:t xml:space="preserve"> If you are redesigning a new M or RA modality, </w:t>
      </w:r>
      <w:r w:rsidR="00E25B0B" w:rsidRPr="00943697">
        <w:rPr>
          <w:rStyle w:val="IntenseEmphasis"/>
          <w:color w:val="002060"/>
        </w:rPr>
        <w:t>please describe the integration of the online and face-to-face components of your new course design. If</w:t>
      </w:r>
      <w:r w:rsidR="0008585E" w:rsidRPr="00943697">
        <w:rPr>
          <w:rStyle w:val="IntenseEmphasis"/>
          <w:color w:val="002060"/>
        </w:rPr>
        <w:t xml:space="preserve"> you also </w:t>
      </w:r>
      <w:r w:rsidR="000B3F3C" w:rsidRPr="00943697">
        <w:rPr>
          <w:rStyle w:val="IntenseEmphasis"/>
          <w:color w:val="002060"/>
        </w:rPr>
        <w:t>appl</w:t>
      </w:r>
      <w:r w:rsidR="0008585E" w:rsidRPr="00943697">
        <w:rPr>
          <w:rStyle w:val="IntenseEmphasis"/>
          <w:color w:val="002060"/>
        </w:rPr>
        <w:t>ied</w:t>
      </w:r>
      <w:r w:rsidR="000B3F3C" w:rsidRPr="00943697">
        <w:rPr>
          <w:rStyle w:val="IntenseEmphasis"/>
          <w:color w:val="002060"/>
        </w:rPr>
        <w:t xml:space="preserve"> any of the additional attributes</w:t>
      </w:r>
      <w:r w:rsidR="0008585E" w:rsidRPr="00943697">
        <w:rPr>
          <w:rStyle w:val="IntenseEmphasis"/>
          <w:color w:val="002060"/>
        </w:rPr>
        <w:t xml:space="preserve"> (</w:t>
      </w:r>
      <w:r w:rsidR="0049581B" w:rsidRPr="00943697">
        <w:rPr>
          <w:rStyle w:val="IntenseEmphasis"/>
          <w:color w:val="002060"/>
        </w:rPr>
        <w:t>PAL, Active Learning, OER, or e</w:t>
      </w:r>
      <w:r w:rsidR="009D0BF4" w:rsidRPr="00943697">
        <w:rPr>
          <w:rStyle w:val="IntenseEmphasis"/>
          <w:color w:val="002060"/>
        </w:rPr>
        <w:t>-T</w:t>
      </w:r>
      <w:r w:rsidR="0049581B" w:rsidRPr="00943697">
        <w:rPr>
          <w:rStyle w:val="IntenseEmphasis"/>
          <w:color w:val="002060"/>
        </w:rPr>
        <w:t>extbook)</w:t>
      </w:r>
      <w:r w:rsidR="000B3F3C" w:rsidRPr="00943697">
        <w:rPr>
          <w:rStyle w:val="IntenseEmphasis"/>
          <w:color w:val="002060"/>
        </w:rPr>
        <w:t>, please site those as part of your artifacts.</w:t>
      </w:r>
      <w:r w:rsidR="00311542" w:rsidRPr="00943697">
        <w:rPr>
          <w:rStyle w:val="IntenseEmphasis"/>
          <w:color w:val="002060"/>
        </w:rPr>
        <w:t xml:space="preserve"> </w:t>
      </w:r>
      <w:r w:rsidR="00311542" w:rsidRPr="00943697">
        <w:rPr>
          <w:rStyle w:val="IntenseEmphasis"/>
          <w:b/>
          <w:color w:val="002060"/>
        </w:rPr>
        <w:t xml:space="preserve">When explaining </w:t>
      </w:r>
      <w:r w:rsidR="001557D4" w:rsidRPr="00943697">
        <w:rPr>
          <w:rStyle w:val="IntenseEmphasis"/>
          <w:b/>
          <w:color w:val="002060"/>
        </w:rPr>
        <w:t>your design modifications</w:t>
      </w:r>
      <w:r w:rsidR="00311542" w:rsidRPr="00943697">
        <w:rPr>
          <w:rStyle w:val="IntenseEmphasis"/>
          <w:b/>
          <w:color w:val="002060"/>
        </w:rPr>
        <w:t xml:space="preserve">, please include screenshots </w:t>
      </w:r>
      <w:r w:rsidR="000B3F3C" w:rsidRPr="00943697">
        <w:rPr>
          <w:rStyle w:val="IntenseEmphasis"/>
          <w:b/>
          <w:color w:val="002060"/>
        </w:rPr>
        <w:t>and/</w:t>
      </w:r>
      <w:r w:rsidR="00311542" w:rsidRPr="00943697">
        <w:rPr>
          <w:rStyle w:val="IntenseEmphasis"/>
          <w:b/>
          <w:color w:val="002060"/>
        </w:rPr>
        <w:t xml:space="preserve">or </w:t>
      </w:r>
      <w:r w:rsidR="001557D4" w:rsidRPr="00943697">
        <w:rPr>
          <w:rStyle w:val="IntenseEmphasis"/>
          <w:b/>
          <w:color w:val="002060"/>
        </w:rPr>
        <w:t xml:space="preserve">direct </w:t>
      </w:r>
      <w:r w:rsidR="00311542" w:rsidRPr="00943697">
        <w:rPr>
          <w:rStyle w:val="IntenseEmphasis"/>
          <w:b/>
          <w:color w:val="002060"/>
        </w:rPr>
        <w:t xml:space="preserve">links </w:t>
      </w:r>
      <w:r w:rsidR="001557D4" w:rsidRPr="00943697">
        <w:rPr>
          <w:rStyle w:val="IntenseEmphasis"/>
          <w:b/>
          <w:color w:val="002060"/>
        </w:rPr>
        <w:t xml:space="preserve">to your </w:t>
      </w:r>
      <w:proofErr w:type="spellStart"/>
      <w:r w:rsidR="001557D4" w:rsidRPr="00943697">
        <w:rPr>
          <w:rStyle w:val="IntenseEmphasis"/>
          <w:b/>
          <w:color w:val="002060"/>
        </w:rPr>
        <w:t>Webcourse</w:t>
      </w:r>
      <w:proofErr w:type="spellEnd"/>
      <w:r w:rsidR="001557D4" w:rsidRPr="00943697">
        <w:rPr>
          <w:rStyle w:val="IntenseEmphasis"/>
          <w:b/>
          <w:color w:val="002060"/>
        </w:rPr>
        <w:t xml:space="preserve"> </w:t>
      </w:r>
      <w:r w:rsidR="00311542" w:rsidRPr="00943697">
        <w:rPr>
          <w:rStyle w:val="IntenseEmphasis"/>
          <w:b/>
          <w:color w:val="002060"/>
        </w:rPr>
        <w:t>to help illustrate and provide evidence of completion.</w:t>
      </w:r>
    </w:p>
    <w:p w14:paraId="1DF29432" w14:textId="77777777" w:rsidR="001557D4" w:rsidRDefault="001557D4" w:rsidP="001557D4"/>
    <w:p w14:paraId="24DE8745" w14:textId="77777777" w:rsidR="001557D4" w:rsidRDefault="001557D4" w:rsidP="001557D4">
      <w:r>
        <w:t>Some technical resources that may help with sharing your artifacts:</w:t>
      </w:r>
    </w:p>
    <w:p w14:paraId="07F8189E" w14:textId="77777777" w:rsidR="001557D4" w:rsidRDefault="00D437EA" w:rsidP="001557D4">
      <w:pPr>
        <w:pStyle w:val="ListParagraph"/>
        <w:numPr>
          <w:ilvl w:val="0"/>
          <w:numId w:val="10"/>
        </w:numPr>
      </w:pPr>
      <w:hyperlink r:id="rId7" w:history="1">
        <w:r w:rsidR="001557D4" w:rsidRPr="00107BA2">
          <w:rPr>
            <w:rStyle w:val="Hyperlink"/>
          </w:rPr>
          <w:t xml:space="preserve">Link directly to a specific page in your </w:t>
        </w:r>
        <w:proofErr w:type="spellStart"/>
        <w:r w:rsidR="001557D4" w:rsidRPr="00107BA2">
          <w:rPr>
            <w:rStyle w:val="Hyperlink"/>
          </w:rPr>
          <w:t>webcourse</w:t>
        </w:r>
        <w:proofErr w:type="spellEnd"/>
      </w:hyperlink>
    </w:p>
    <w:p w14:paraId="53D521DD" w14:textId="77777777" w:rsidR="001557D4" w:rsidRDefault="00D437EA" w:rsidP="001557D4">
      <w:pPr>
        <w:pStyle w:val="ListParagraph"/>
        <w:numPr>
          <w:ilvl w:val="0"/>
          <w:numId w:val="10"/>
        </w:numPr>
      </w:pPr>
      <w:hyperlink r:id="rId8" w:history="1">
        <w:r w:rsidR="001557D4" w:rsidRPr="00107BA2">
          <w:rPr>
            <w:rStyle w:val="Hyperlink"/>
          </w:rPr>
          <w:t>Taking a screenshot</w:t>
        </w:r>
      </w:hyperlink>
    </w:p>
    <w:p w14:paraId="0911E490" w14:textId="77777777" w:rsidR="00311542" w:rsidRDefault="00311542" w:rsidP="13E89684"/>
    <w:p w14:paraId="3C5550F8" w14:textId="77777777" w:rsidR="008C5374" w:rsidRDefault="008C5374" w:rsidP="008C5374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95EB5C" w14:textId="70F82043" w:rsidR="003270D8" w:rsidRDefault="003270D8">
      <w:pPr>
        <w:rPr>
          <w:color w:val="FF0000"/>
        </w:rPr>
      </w:pPr>
    </w:p>
    <w:p w14:paraId="1EF935AF" w14:textId="77777777" w:rsidR="003270D8" w:rsidRDefault="003270D8" w:rsidP="13E89684">
      <w:pPr>
        <w:rPr>
          <w:color w:val="FF0000"/>
        </w:rPr>
      </w:pPr>
    </w:p>
    <w:p w14:paraId="46EB3953" w14:textId="03F98E00" w:rsidR="00493569" w:rsidRPr="00943697" w:rsidRDefault="00493569" w:rsidP="00493569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Please describe any outstanding tasks that must be completed before teaching this course in the new format.</w:t>
      </w:r>
      <w:r w:rsidR="00567CF6">
        <w:rPr>
          <w:rStyle w:val="IntenseEmphasis"/>
          <w:color w:val="002060"/>
        </w:rPr>
        <w:t xml:space="preserve"> (i.e., updating course schedule with F2F assignments, waiting for video team to finish creating videos to add to course modules)</w:t>
      </w:r>
    </w:p>
    <w:p w14:paraId="6A1F7710" w14:textId="1416E047" w:rsidR="00493569" w:rsidRDefault="00493569" w:rsidP="00493569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CA6B758" w14:textId="4E9B1136" w:rsidR="00493569" w:rsidRDefault="00493569" w:rsidP="00493569"/>
    <w:p w14:paraId="724B6376" w14:textId="048272A4" w:rsidR="000B3F3C" w:rsidRPr="00943697" w:rsidRDefault="71797F74" w:rsidP="000B3F3C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Please describe any future tasks that may need to be done after teaching this course in the new format.</w:t>
      </w:r>
      <w:r w:rsidR="00567CF6">
        <w:rPr>
          <w:rStyle w:val="IntenseEmphasis"/>
          <w:color w:val="002060"/>
        </w:rPr>
        <w:t xml:space="preserve"> (i.e., implementing a new type of active learning activity in a F2F session, incorporating an additional </w:t>
      </w:r>
      <w:proofErr w:type="spellStart"/>
      <w:r w:rsidR="00567CF6">
        <w:rPr>
          <w:rStyle w:val="IntenseEmphasis"/>
          <w:color w:val="002060"/>
        </w:rPr>
        <w:t>Realizeit</w:t>
      </w:r>
      <w:proofErr w:type="spellEnd"/>
      <w:r w:rsidR="00567CF6">
        <w:rPr>
          <w:rStyle w:val="IntenseEmphasis"/>
          <w:color w:val="002060"/>
        </w:rPr>
        <w:t xml:space="preserve"> module)</w:t>
      </w:r>
    </w:p>
    <w:p w14:paraId="5133AB77" w14:textId="77777777" w:rsidR="000B3F3C" w:rsidRDefault="000B3F3C" w:rsidP="000B3F3C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F02F17" w14:textId="77777777" w:rsidR="000B3F3C" w:rsidRDefault="000B3F3C" w:rsidP="00493569"/>
    <w:p w14:paraId="51ED8866" w14:textId="3B44840F" w:rsidR="00493569" w:rsidRPr="00943697" w:rsidRDefault="00493569" w:rsidP="00493569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Additional Comments</w:t>
      </w:r>
      <w:r w:rsidR="00BE6CBB" w:rsidRPr="00943697">
        <w:rPr>
          <w:rStyle w:val="IntenseEmphasis"/>
          <w:color w:val="002060"/>
        </w:rPr>
        <w:t>:</w:t>
      </w:r>
    </w:p>
    <w:p w14:paraId="7A9BD3D7" w14:textId="5BF2D05F" w:rsidR="00493569" w:rsidRDefault="00493569" w:rsidP="00493569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F9AB43E" w14:textId="4D01A416" w:rsidR="007A00E0" w:rsidRDefault="007A00E0" w:rsidP="00493569"/>
    <w:p w14:paraId="36576C8B" w14:textId="3FDD02C3" w:rsidR="007A00E0" w:rsidRDefault="007A00E0" w:rsidP="004935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D7C5" wp14:editId="3C877EF6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5934456" cy="694944"/>
                <wp:effectExtent l="19050" t="1905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456" cy="6949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-6pt;margin-top:10.3pt;width:467.3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fc000" strokeweight="3pt" w14:anchorId="13998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"/>
            </w:pict>
          </mc:Fallback>
        </mc:AlternateContent>
      </w:r>
    </w:p>
    <w:p w14:paraId="37470E48" w14:textId="0502D263" w:rsidR="00B47FC5" w:rsidRDefault="00BE6CBB" w:rsidP="00B47FC5">
      <w:r>
        <w:t>Upon completion of this section, please contact your instructional designer to schedule a consultation for Part II.</w:t>
      </w:r>
      <w:r w:rsidR="00B47FC5">
        <w:t xml:space="preserve"> Please </w:t>
      </w:r>
      <w:r w:rsidR="008C5374">
        <w:t>provide</w:t>
      </w:r>
      <w:r w:rsidR="00B47FC5">
        <w:t xml:space="preserve"> a copy of your </w:t>
      </w:r>
      <w:r w:rsidR="008C5374">
        <w:t>new syllabus that reflects your</w:t>
      </w:r>
      <w:r w:rsidR="00B47FC5">
        <w:t xml:space="preserve"> redesign changes with this form when you meet with your instructional designer.</w:t>
      </w:r>
    </w:p>
    <w:p w14:paraId="3CC9A961" w14:textId="4A52BD1C" w:rsidR="001A0B9D" w:rsidRDefault="001A0B9D" w:rsidP="00493569"/>
    <w:p w14:paraId="4F788B75" w14:textId="6234ECE0" w:rsidR="00D50D3A" w:rsidRDefault="00D50D3A" w:rsidP="00493569"/>
    <w:p w14:paraId="237038F9" w14:textId="23467C01" w:rsidR="00FB444D" w:rsidRDefault="00FB444D" w:rsidP="00493569"/>
    <w:p w14:paraId="620FFA25" w14:textId="19FC37BC" w:rsidR="00FB444D" w:rsidRDefault="00FB444D" w:rsidP="00493569"/>
    <w:p w14:paraId="7BF2D60C" w14:textId="2E0A97C0" w:rsidR="00FB444D" w:rsidRDefault="00FB444D" w:rsidP="00493569"/>
    <w:p w14:paraId="676C714C" w14:textId="46435490" w:rsidR="00FB444D" w:rsidRDefault="00FB444D" w:rsidP="00493569"/>
    <w:p w14:paraId="200FFDFE" w14:textId="208FBF69" w:rsidR="00FB444D" w:rsidRDefault="00FB444D" w:rsidP="00493569"/>
    <w:p w14:paraId="45AED338" w14:textId="5EE9EE66" w:rsidR="00FB444D" w:rsidRDefault="00FB444D" w:rsidP="00493569"/>
    <w:p w14:paraId="4F6B9DD7" w14:textId="6E931253" w:rsidR="00FB444D" w:rsidRDefault="00FB444D" w:rsidP="00493569"/>
    <w:p w14:paraId="1B32F676" w14:textId="77777777" w:rsidR="00FB444D" w:rsidRDefault="00FB444D" w:rsidP="00493569"/>
    <w:p w14:paraId="0D30ABAD" w14:textId="3F9936DA" w:rsidR="00493569" w:rsidRPr="0094614B" w:rsidRDefault="00D50D3A" w:rsidP="003F5A9B">
      <w:pPr>
        <w:pStyle w:val="Heading1"/>
        <w:rPr>
          <w:b/>
          <w:color w:val="auto"/>
        </w:rPr>
      </w:pPr>
      <w:r>
        <w:rPr>
          <w:b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6C874D" wp14:editId="44D3AEA6">
                <wp:simplePos x="0" y="0"/>
                <wp:positionH relativeFrom="column">
                  <wp:posOffset>-85725</wp:posOffset>
                </wp:positionH>
                <wp:positionV relativeFrom="paragraph">
                  <wp:posOffset>-27940</wp:posOffset>
                </wp:positionV>
                <wp:extent cx="2990850" cy="361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DCC11" id="Rounded Rectangle 5" o:spid="_x0000_s1026" style="position:absolute;margin-left:-6.75pt;margin-top:-2.2pt;width:235.5pt;height:2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" fillcolor="#ffc000 [3207]" strokecolor="#7f5f00 [1607]" strokeweight="1pt">
                <v:stroke joinstyle="miter"/>
              </v:roundrect>
            </w:pict>
          </mc:Fallback>
        </mc:AlternateContent>
      </w:r>
      <w:r w:rsidR="003F5A9B" w:rsidRPr="0094614B">
        <w:rPr>
          <w:b/>
          <w:color w:val="auto"/>
        </w:rPr>
        <w:t>Part II. ID Review and Consultation</w:t>
      </w:r>
    </w:p>
    <w:p w14:paraId="4D8D4A75" w14:textId="77777777" w:rsidR="0094614B" w:rsidRDefault="0094614B" w:rsidP="003F5A9B"/>
    <w:p w14:paraId="32CB350D" w14:textId="56E47EEE" w:rsidR="003F5A9B" w:rsidRPr="00943697" w:rsidRDefault="003F5A9B" w:rsidP="003F5A9B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To be completed by instructional designer prior to submission to the review committee.</w:t>
      </w:r>
    </w:p>
    <w:p w14:paraId="16E642CF" w14:textId="77777777" w:rsidR="003F5A9B" w:rsidRDefault="003F5A9B" w:rsidP="003F5A9B"/>
    <w:p w14:paraId="46C84EA7" w14:textId="1123A588" w:rsidR="00BE6CBB" w:rsidRDefault="00BE6CBB" w:rsidP="003F5A9B">
      <w:r>
        <w:t xml:space="preserve">Instructional Designer: </w:t>
      </w:r>
      <w:r w:rsidR="004A754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4A7544">
        <w:instrText xml:space="preserve"> FORMTEXT </w:instrText>
      </w:r>
      <w:r w:rsidR="004A7544">
        <w:fldChar w:fldCharType="separate"/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fldChar w:fldCharType="end"/>
      </w:r>
      <w:bookmarkEnd w:id="17"/>
    </w:p>
    <w:p w14:paraId="6FFA5F2A" w14:textId="77777777" w:rsidR="00BE6CBB" w:rsidRDefault="00BE6CBB" w:rsidP="003F5A9B"/>
    <w:p w14:paraId="1A9DCA94" w14:textId="4277CDB8" w:rsidR="003F5A9B" w:rsidRDefault="65D2CBAF" w:rsidP="003F5A9B">
      <w:r>
        <w:t>Date of final ID consultation:</w:t>
      </w:r>
      <w:r w:rsidR="004A7544">
        <w:t xml:space="preserve"> </w:t>
      </w:r>
      <w:r w:rsidR="004A754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4A7544">
        <w:instrText xml:space="preserve"> FORMTEXT </w:instrText>
      </w:r>
      <w:r w:rsidR="004A7544">
        <w:fldChar w:fldCharType="separate"/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fldChar w:fldCharType="end"/>
      </w:r>
      <w:bookmarkEnd w:id="18"/>
    </w:p>
    <w:p w14:paraId="37227DA2" w14:textId="2AB950C7" w:rsidR="65D2CBAF" w:rsidRDefault="65D2CBAF" w:rsidP="65D2CBAF"/>
    <w:p w14:paraId="3147913D" w14:textId="2592C2BE" w:rsidR="65D2CBAF" w:rsidRDefault="65D2CBAF" w:rsidP="65D2CBAF">
      <w:r>
        <w:t>In our consultation we:</w:t>
      </w:r>
    </w:p>
    <w:p w14:paraId="0A4CB8A0" w14:textId="4755AD98" w:rsidR="65D2CBAF" w:rsidRDefault="004A7544" w:rsidP="004A7544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bookmarkEnd w:id="19"/>
      <w:r>
        <w:rPr>
          <w:rFonts w:ascii="Wingdings" w:eastAsiaTheme="minorEastAsia" w:hAnsi="Wingdings"/>
        </w:rPr>
        <w:t></w:t>
      </w:r>
      <w:r w:rsidR="65D2CBAF">
        <w:t xml:space="preserve">Reviewed </w:t>
      </w:r>
      <w:r w:rsidR="00567CF6">
        <w:t>Part 1 of this form for completeness and accuracy</w:t>
      </w:r>
      <w:r w:rsidR="65D2CBAF">
        <w:t>:</w:t>
      </w:r>
    </w:p>
    <w:p w14:paraId="38204509" w14:textId="4268C0FB" w:rsidR="00567CF6" w:rsidRPr="00FB444D" w:rsidRDefault="00567CF6" w:rsidP="00FB444D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>
        <w:t>Course Items Reviewed:</w:t>
      </w:r>
    </w:p>
    <w:p w14:paraId="091EA344" w14:textId="47E8DBBC" w:rsidR="65D2CBAF" w:rsidRDefault="65D2CBAF" w:rsidP="65D2CBAF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</w:t>
      </w:r>
      <w:r w:rsidR="00567CF6">
        <w:t>ourse c</w:t>
      </w:r>
      <w:r>
        <w:t xml:space="preserve">ontent </w:t>
      </w:r>
      <w:r w:rsidR="000F5893">
        <w:t xml:space="preserve">is </w:t>
      </w:r>
      <w:r>
        <w:t xml:space="preserve">in alignment with </w:t>
      </w:r>
      <w:r w:rsidR="00567CF6">
        <w:t xml:space="preserve">the </w:t>
      </w:r>
      <w:r>
        <w:t>learning objectives</w:t>
      </w:r>
    </w:p>
    <w:p w14:paraId="73273F91" w14:textId="30EC4CBF" w:rsidR="000F5893" w:rsidRDefault="00567CF6" w:rsidP="000F5893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Course a</w:t>
      </w:r>
      <w:r w:rsidR="000F5893">
        <w:t xml:space="preserve">ssessments align with </w:t>
      </w:r>
      <w:r>
        <w:t xml:space="preserve">the </w:t>
      </w:r>
      <w:r w:rsidR="000F5893">
        <w:t>learning objectives</w:t>
      </w:r>
    </w:p>
    <w:p w14:paraId="7A1D9E3E" w14:textId="5F9AFDAA" w:rsidR="65D2CBAF" w:rsidRDefault="65D2CBAF" w:rsidP="65D2CBAF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</w:t>
      </w:r>
      <w:r w:rsidR="00567CF6">
        <w:t>ourse has c</w:t>
      </w:r>
      <w:r>
        <w:t>lear interaction and engagement strategies</w:t>
      </w:r>
    </w:p>
    <w:p w14:paraId="3C2D46CF" w14:textId="7CCD25EB" w:rsidR="65D2CBAF" w:rsidRDefault="00567CF6" w:rsidP="65D2CBAF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Course has a c</w:t>
      </w:r>
      <w:r w:rsidR="65D2CBAF">
        <w:t>lear structure &amp; directions</w:t>
      </w:r>
    </w:p>
    <w:p w14:paraId="30686FB3" w14:textId="77777777" w:rsidR="000E05DC" w:rsidRPr="005E363C" w:rsidRDefault="000E05DC" w:rsidP="000E05DC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Copyright best practices implemented</w:t>
      </w:r>
    </w:p>
    <w:p w14:paraId="41EF2367" w14:textId="0A6E07D6" w:rsidR="000E05DC" w:rsidRPr="000E05DC" w:rsidRDefault="00567CF6" w:rsidP="000E05DC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 xml:space="preserve">A </w:t>
      </w:r>
      <w:proofErr w:type="spellStart"/>
      <w:r>
        <w:t>UDoIt</w:t>
      </w:r>
      <w:proofErr w:type="spellEnd"/>
      <w:r>
        <w:t xml:space="preserve"> report was run and a</w:t>
      </w:r>
      <w:r w:rsidR="65D2CBAF">
        <w:t xml:space="preserve">ccessibility </w:t>
      </w:r>
      <w:r>
        <w:t xml:space="preserve">issues were </w:t>
      </w:r>
      <w:r w:rsidR="65D2CBAF">
        <w:t>addressed</w:t>
      </w:r>
    </w:p>
    <w:p w14:paraId="15ABDB62" w14:textId="11442A03" w:rsidR="000E05DC" w:rsidRDefault="00567CF6" w:rsidP="00567CF6">
      <w:pPr>
        <w:spacing w:line="259" w:lineRule="auto"/>
        <w:ind w:left="1080"/>
        <w:rPr>
          <w:rFonts w:eastAsiaTheme="minorEastAsia" w:cstheme="minorHAnsi"/>
        </w:rPr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0E05DC">
        <w:rPr>
          <w:rFonts w:eastAsiaTheme="minorEastAsia" w:cstheme="minorHAnsi"/>
        </w:rPr>
        <w:t xml:space="preserve">Offered captioning services if applicable (W </w:t>
      </w:r>
      <w:r w:rsidR="003C4898">
        <w:rPr>
          <w:rFonts w:eastAsiaTheme="minorEastAsia" w:cstheme="minorHAnsi"/>
        </w:rPr>
        <w:t>and</w:t>
      </w:r>
      <w:r w:rsidR="000E05DC">
        <w:rPr>
          <w:rFonts w:eastAsiaTheme="minorEastAsia" w:cstheme="minorHAnsi"/>
        </w:rPr>
        <w:t xml:space="preserve"> RA courses</w:t>
      </w:r>
      <w:r w:rsidR="003C4898">
        <w:rPr>
          <w:rFonts w:eastAsiaTheme="minorEastAsia" w:cstheme="minorHAnsi"/>
        </w:rPr>
        <w:t xml:space="preserve"> may be eligible</w:t>
      </w:r>
      <w:r w:rsidR="000E05DC">
        <w:rPr>
          <w:rFonts w:eastAsiaTheme="minorEastAsia" w:cstheme="minorHAnsi"/>
        </w:rPr>
        <w:t>)</w:t>
      </w:r>
    </w:p>
    <w:p w14:paraId="2919B978" w14:textId="5AECEDF5" w:rsidR="000E05DC" w:rsidRDefault="000E05DC" w:rsidP="000E05D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Pr="000E05DC">
        <w:t xml:space="preserve"> </w:t>
      </w:r>
      <w:r>
        <w:t>Provided feedback on course content changes or suggestions</w:t>
      </w:r>
    </w:p>
    <w:p w14:paraId="4406F315" w14:textId="28173618" w:rsidR="005E363C" w:rsidRPr="00F53934" w:rsidRDefault="005E363C" w:rsidP="005E363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>
        <w:t>Confirmed plan for addressing any outstanding tasks</w:t>
      </w:r>
    </w:p>
    <w:p w14:paraId="6108247E" w14:textId="55F3D11B" w:rsidR="007C62D7" w:rsidRDefault="00F53934" w:rsidP="007C62D7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780C56" w:rsidRPr="00780C56">
        <w:t>Dis</w:t>
      </w:r>
      <w:r w:rsidR="00780C56">
        <w:t>cussed potential</w:t>
      </w:r>
      <w:r w:rsidR="00780C56" w:rsidRPr="00780C56">
        <w:t xml:space="preserve"> </w:t>
      </w:r>
      <w:r w:rsidR="00567CF6">
        <w:t xml:space="preserve">for </w:t>
      </w:r>
      <w:r w:rsidR="004A7544" w:rsidRPr="007C62D7">
        <w:t>Quality Review (for W courses)</w:t>
      </w:r>
    </w:p>
    <w:p w14:paraId="05A9E16A" w14:textId="2AA6381B" w:rsidR="005E363C" w:rsidRPr="005E363C" w:rsidRDefault="005E363C" w:rsidP="005E363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6F4178">
        <w:t>Reviewed course for</w:t>
      </w:r>
      <w:r>
        <w:t xml:space="preserve"> emphasis on student success</w:t>
      </w:r>
    </w:p>
    <w:p w14:paraId="77EA9A4B" w14:textId="198B8CDA" w:rsidR="65D2CBAF" w:rsidRPr="007C62D7" w:rsidRDefault="007C62D7" w:rsidP="007C62D7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567CF6">
        <w:t>Dis</w:t>
      </w:r>
      <w:r w:rsidR="00567CF6" w:rsidRPr="000F5893">
        <w:t xml:space="preserve">cussed </w:t>
      </w:r>
      <w:r w:rsidR="00567CF6">
        <w:t>r</w:t>
      </w:r>
      <w:r w:rsidR="00567CF6" w:rsidRPr="000F5893">
        <w:t>esearch opportunities</w:t>
      </w:r>
    </w:p>
    <w:p w14:paraId="5D510C91" w14:textId="6CB8FBAB" w:rsidR="005E363C" w:rsidRDefault="004A7544" w:rsidP="000F5893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bookmarkEnd w:id="20"/>
      <w:r>
        <w:rPr>
          <w:rFonts w:ascii="Wingdings" w:eastAsiaTheme="minorEastAsia" w:hAnsi="Wingdings"/>
        </w:rPr>
        <w:t></w:t>
      </w:r>
      <w:r w:rsidR="005E363C">
        <w:t>Discussed ongoing support and resources for course development</w:t>
      </w:r>
    </w:p>
    <w:p w14:paraId="0F9BC0CA" w14:textId="233F0648" w:rsidR="005E363C" w:rsidRPr="005E363C" w:rsidRDefault="005E363C" w:rsidP="005E363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>
        <w:t>C</w:t>
      </w:r>
      <w:r w:rsidR="0017334B">
        <w:t>onfirmed c</w:t>
      </w:r>
      <w:r>
        <w:t>ourse redesign aligns with goals of the DL CRI</w:t>
      </w:r>
    </w:p>
    <w:p w14:paraId="5E314797" w14:textId="686DE774" w:rsidR="65D2CBAF" w:rsidRPr="005E363C" w:rsidRDefault="000F5893" w:rsidP="005E363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D437EA">
        <w:rPr>
          <w:rFonts w:ascii="Wingdings" w:eastAsiaTheme="minorEastAsia" w:hAnsi="Wingdings"/>
          <w:highlight w:val="lightGray"/>
        </w:rPr>
      </w:r>
      <w:r w:rsidR="00D437E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5E363C" w:rsidRPr="00F111F3">
        <w:rPr>
          <w:b/>
          <w:bCs/>
        </w:rPr>
        <w:t>Confirmed course is ready to be taught in the semester identified in Part 1</w:t>
      </w:r>
    </w:p>
    <w:p w14:paraId="61B1D314" w14:textId="14337D7A" w:rsidR="65D2CBAF" w:rsidRDefault="65D2CBAF" w:rsidP="65D2CBAF"/>
    <w:p w14:paraId="75227C7C" w14:textId="7EDB95E2" w:rsidR="00877482" w:rsidRPr="00943697" w:rsidRDefault="00BE6CBB" w:rsidP="003F5A9B">
      <w:pPr>
        <w:rPr>
          <w:rStyle w:val="IntenseEmphasis"/>
          <w:color w:val="002060"/>
        </w:rPr>
      </w:pPr>
      <w:r w:rsidRPr="002A51AC">
        <w:rPr>
          <w:rStyle w:val="IntenseEmphasis"/>
          <w:b/>
          <w:color w:val="002060"/>
        </w:rPr>
        <w:t>Comments</w:t>
      </w:r>
      <w:r w:rsidR="002A51AC" w:rsidRPr="002A51AC">
        <w:rPr>
          <w:rStyle w:val="IntenseEmphasis"/>
          <w:b/>
          <w:color w:val="002060"/>
        </w:rPr>
        <w:t>:</w:t>
      </w:r>
      <w:r w:rsidR="002A51AC">
        <w:rPr>
          <w:rStyle w:val="IntenseEmphasis"/>
          <w:color w:val="002060"/>
        </w:rPr>
        <w:t xml:space="preserve"> Please provide any additional information about the redesigned course or input from the ID’s perspective on the work </w:t>
      </w:r>
      <w:r w:rsidR="008A3934">
        <w:rPr>
          <w:rStyle w:val="IntenseEmphasis"/>
          <w:color w:val="002060"/>
        </w:rPr>
        <w:t>completed for this project</w:t>
      </w:r>
      <w:r w:rsidR="002A51AC">
        <w:rPr>
          <w:rStyle w:val="IntenseEmphasis"/>
          <w:color w:val="002060"/>
        </w:rPr>
        <w:t>. Please feel free to share any concerns or problems that occurred during the course redesign if it will</w:t>
      </w:r>
      <w:r w:rsidR="008A3934">
        <w:rPr>
          <w:rStyle w:val="IntenseEmphasis"/>
          <w:color w:val="002060"/>
        </w:rPr>
        <w:t xml:space="preserve"> provide context for</w:t>
      </w:r>
      <w:r w:rsidR="002A51AC">
        <w:rPr>
          <w:rStyle w:val="IntenseEmphasis"/>
          <w:color w:val="002060"/>
        </w:rPr>
        <w:t xml:space="preserve"> the CRI </w:t>
      </w:r>
      <w:r w:rsidR="008A3934">
        <w:rPr>
          <w:rStyle w:val="IntenseEmphasis"/>
          <w:color w:val="002060"/>
        </w:rPr>
        <w:t xml:space="preserve">Review </w:t>
      </w:r>
      <w:r w:rsidR="002A51AC">
        <w:rPr>
          <w:rStyle w:val="IntenseEmphasis"/>
          <w:color w:val="002060"/>
        </w:rPr>
        <w:t>Committee</w:t>
      </w:r>
      <w:r w:rsidRPr="00943697">
        <w:rPr>
          <w:rStyle w:val="IntenseEmphasis"/>
          <w:color w:val="002060"/>
        </w:rPr>
        <w:t>:</w:t>
      </w:r>
    </w:p>
    <w:p w14:paraId="470E92F0" w14:textId="74247579" w:rsidR="00877482" w:rsidRDefault="00B01BF6" w:rsidP="003F5A9B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527DEA0" w14:textId="31F6B6B5" w:rsidR="00877482" w:rsidRDefault="00877482" w:rsidP="003F5A9B"/>
    <w:p w14:paraId="60CBFB32" w14:textId="77777777" w:rsidR="00D437EA" w:rsidRDefault="00D437EA" w:rsidP="003F5A9B"/>
    <w:p w14:paraId="2810AE0F" w14:textId="524963EE" w:rsidR="00BB3E91" w:rsidRDefault="000B3F3C" w:rsidP="003F5A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6AC5A" wp14:editId="648B7B73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010275" cy="5238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7" style="position:absolute;margin-left:422.05pt;margin-top:9.85pt;width:473.25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ffc000" strokeweight="3pt" w14:anchorId="460CC8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">
                <w10:wrap anchorx="margin"/>
              </v:rect>
            </w:pict>
          </mc:Fallback>
        </mc:AlternateContent>
      </w:r>
    </w:p>
    <w:p w14:paraId="35946702" w14:textId="328C7AA2" w:rsidR="00877482" w:rsidRDefault="000B3F3C" w:rsidP="003F5A9B">
      <w:r>
        <w:t>Instructional designer, p</w:t>
      </w:r>
      <w:r w:rsidR="00160554">
        <w:t>lease notify</w:t>
      </w:r>
      <w:r w:rsidR="007F1A93">
        <w:t xml:space="preserve"> the</w:t>
      </w:r>
      <w:r w:rsidR="00160554">
        <w:t xml:space="preserve"> </w:t>
      </w:r>
      <w:proofErr w:type="spellStart"/>
      <w:r w:rsidR="00160554">
        <w:t>iLab</w:t>
      </w:r>
      <w:proofErr w:type="spellEnd"/>
      <w:r w:rsidR="00160554">
        <w:t xml:space="preserve"> that Part II is complete </w:t>
      </w:r>
      <w:r w:rsidR="007F1A93">
        <w:t>and</w:t>
      </w:r>
      <w:r w:rsidR="00160554">
        <w:t xml:space="preserve"> forward </w:t>
      </w:r>
      <w:r w:rsidR="00B47FC5">
        <w:t>this form and new syllabus</w:t>
      </w:r>
      <w:r w:rsidR="007F1A93">
        <w:t xml:space="preserve"> </w:t>
      </w:r>
      <w:r w:rsidR="00160554">
        <w:t>to</w:t>
      </w:r>
      <w:r w:rsidR="00B47FC5">
        <w:t xml:space="preserve"> </w:t>
      </w:r>
      <w:hyperlink r:id="rId9" w:history="1">
        <w:r w:rsidR="00B47FC5" w:rsidRPr="00EB6D2D">
          <w:rPr>
            <w:rStyle w:val="Hyperlink"/>
          </w:rPr>
          <w:t>iLab@ucf.edu</w:t>
        </w:r>
      </w:hyperlink>
      <w:r w:rsidR="00B47FC5">
        <w:t xml:space="preserve"> for</w:t>
      </w:r>
      <w:r w:rsidR="00160554">
        <w:t xml:space="preserve"> the committee </w:t>
      </w:r>
      <w:r w:rsidR="00B47FC5">
        <w:t>to approve</w:t>
      </w:r>
      <w:r w:rsidR="00160554">
        <w:t>.</w:t>
      </w:r>
    </w:p>
    <w:p w14:paraId="19408B20" w14:textId="77777777" w:rsidR="00877482" w:rsidRDefault="00877482" w:rsidP="003F5A9B"/>
    <w:p w14:paraId="5902E234" w14:textId="0C7084E9" w:rsidR="00BB3E91" w:rsidRDefault="00BB3E91" w:rsidP="003F5A9B"/>
    <w:p w14:paraId="53A786A8" w14:textId="77777777" w:rsidR="00D437EA" w:rsidRDefault="00D437EA" w:rsidP="003F5A9B"/>
    <w:p w14:paraId="5C260478" w14:textId="400A5690" w:rsidR="00877482" w:rsidRPr="0094614B" w:rsidRDefault="0094614B" w:rsidP="00877482">
      <w:pPr>
        <w:pStyle w:val="Heading1"/>
        <w:rPr>
          <w:b/>
          <w:color w:val="auto"/>
        </w:rPr>
      </w:pPr>
      <w:r>
        <w:rPr>
          <w:b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A7A050" wp14:editId="779D8838">
                <wp:simplePos x="0" y="0"/>
                <wp:positionH relativeFrom="column">
                  <wp:posOffset>-101600</wp:posOffset>
                </wp:positionH>
                <wp:positionV relativeFrom="paragraph">
                  <wp:posOffset>-2540</wp:posOffset>
                </wp:positionV>
                <wp:extent cx="3218688" cy="323850"/>
                <wp:effectExtent l="0" t="0" r="2032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88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5ECE6" id="Rounded Rectangle 9" o:spid="_x0000_s1026" style="position:absolute;margin-left:-8pt;margin-top:-.2pt;width:253.4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" fillcolor="#ffc000 [3207]" strokecolor="#7f5f00 [1607]" strokeweight="1pt">
                <v:stroke joinstyle="miter"/>
              </v:roundrect>
            </w:pict>
          </mc:Fallback>
        </mc:AlternateContent>
      </w:r>
      <w:r w:rsidR="00877482" w:rsidRPr="0094614B">
        <w:rPr>
          <w:b/>
          <w:color w:val="auto"/>
        </w:rPr>
        <w:t>Part III. Review Committee Approval</w:t>
      </w:r>
    </w:p>
    <w:p w14:paraId="342D2331" w14:textId="77777777" w:rsidR="00877482" w:rsidRDefault="00877482" w:rsidP="00877482"/>
    <w:p w14:paraId="50CAC431" w14:textId="00E9708C" w:rsidR="007B58C8" w:rsidRDefault="007B58C8" w:rsidP="00877482">
      <w:r>
        <w:t xml:space="preserve">The Review Committee met on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and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D437EA">
        <w:fldChar w:fldCharType="separate"/>
      </w:r>
      <w:r>
        <w:fldChar w:fldCharType="end"/>
      </w:r>
      <w:bookmarkEnd w:id="23"/>
      <w:r>
        <w:t xml:space="preserve"> Approved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D437EA">
        <w:fldChar w:fldCharType="separate"/>
      </w:r>
      <w:r>
        <w:fldChar w:fldCharType="end"/>
      </w:r>
      <w:bookmarkEnd w:id="24"/>
      <w:r>
        <w:t xml:space="preserve"> Conditionally Approved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instrText xml:space="preserve"> FORMCHECKBOX </w:instrText>
      </w:r>
      <w:r w:rsidR="00D437EA">
        <w:fldChar w:fldCharType="separate"/>
      </w:r>
      <w:r>
        <w:fldChar w:fldCharType="end"/>
      </w:r>
      <w:bookmarkEnd w:id="25"/>
      <w:r>
        <w:t xml:space="preserve"> Did Not Approve the disbursement of funds at this time.</w:t>
      </w:r>
    </w:p>
    <w:p w14:paraId="500DA71D" w14:textId="77777777" w:rsidR="007B58C8" w:rsidRDefault="007B58C8" w:rsidP="00877482"/>
    <w:p w14:paraId="28A1D256" w14:textId="0F0956EA" w:rsidR="00865F24" w:rsidRDefault="007B58C8" w:rsidP="00877482">
      <w:r w:rsidRPr="00943697">
        <w:rPr>
          <w:rStyle w:val="IntenseEmphasis"/>
          <w:color w:val="002060"/>
        </w:rPr>
        <w:t>Comments:</w:t>
      </w:r>
      <w:r w:rsidR="00FB444D" w:rsidRPr="00FB444D">
        <w:t xml:space="preserve"> </w:t>
      </w:r>
    </w:p>
    <w:p w14:paraId="5E7AAF33" w14:textId="70949447" w:rsidR="006F4178" w:rsidRPr="00FB444D" w:rsidRDefault="006F4178" w:rsidP="00877482">
      <w:pPr>
        <w:rPr>
          <w:i/>
          <w:iCs/>
          <w:color w:val="002060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6F4178" w:rsidRPr="00FB444D" w:rsidSect="00FB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D70A7E"/>
    <w:multiLevelType w:val="hybridMultilevel"/>
    <w:tmpl w:val="26CF78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208CA"/>
    <w:multiLevelType w:val="hybridMultilevel"/>
    <w:tmpl w:val="D0BE91A6"/>
    <w:lvl w:ilvl="0" w:tplc="3536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A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62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22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80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67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40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A9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07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790"/>
    <w:multiLevelType w:val="hybridMultilevel"/>
    <w:tmpl w:val="34502F3E"/>
    <w:lvl w:ilvl="0" w:tplc="F1A28F8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00D65"/>
    <w:multiLevelType w:val="hybridMultilevel"/>
    <w:tmpl w:val="7CB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5FAC"/>
    <w:multiLevelType w:val="multilevel"/>
    <w:tmpl w:val="1A2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A07B3"/>
    <w:multiLevelType w:val="hybridMultilevel"/>
    <w:tmpl w:val="1A58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752A"/>
    <w:multiLevelType w:val="hybridMultilevel"/>
    <w:tmpl w:val="40628360"/>
    <w:lvl w:ilvl="0" w:tplc="C7C0CF58">
      <w:start w:val="1"/>
      <w:numFmt w:val="bullet"/>
      <w:lvlText w:val=""/>
      <w:lvlJc w:val="left"/>
      <w:pPr>
        <w:ind w:left="1446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1AD1BEC"/>
    <w:multiLevelType w:val="hybridMultilevel"/>
    <w:tmpl w:val="E132DB86"/>
    <w:lvl w:ilvl="0" w:tplc="F1A28F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592"/>
    <w:multiLevelType w:val="hybridMultilevel"/>
    <w:tmpl w:val="9F38C17E"/>
    <w:lvl w:ilvl="0" w:tplc="F1A28F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677A8"/>
    <w:multiLevelType w:val="multilevel"/>
    <w:tmpl w:val="68B6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A4268"/>
    <w:multiLevelType w:val="multilevel"/>
    <w:tmpl w:val="840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F4031"/>
    <w:multiLevelType w:val="hybridMultilevel"/>
    <w:tmpl w:val="92A2CAD0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77931"/>
    <w:multiLevelType w:val="hybridMultilevel"/>
    <w:tmpl w:val="2A5E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15"/>
    <w:rsid w:val="0008585E"/>
    <w:rsid w:val="000B3F3C"/>
    <w:rsid w:val="000E05DC"/>
    <w:rsid w:val="000F5893"/>
    <w:rsid w:val="00107BA2"/>
    <w:rsid w:val="001557D4"/>
    <w:rsid w:val="00160554"/>
    <w:rsid w:val="0017334B"/>
    <w:rsid w:val="001A0B9D"/>
    <w:rsid w:val="001A1524"/>
    <w:rsid w:val="00211D8D"/>
    <w:rsid w:val="0028656F"/>
    <w:rsid w:val="0028674C"/>
    <w:rsid w:val="002A51AC"/>
    <w:rsid w:val="002D358A"/>
    <w:rsid w:val="00311542"/>
    <w:rsid w:val="003270D8"/>
    <w:rsid w:val="00363EFD"/>
    <w:rsid w:val="003C4898"/>
    <w:rsid w:val="003D71D5"/>
    <w:rsid w:val="003F5A9B"/>
    <w:rsid w:val="00493569"/>
    <w:rsid w:val="0049581B"/>
    <w:rsid w:val="004A249C"/>
    <w:rsid w:val="004A7544"/>
    <w:rsid w:val="004B60A1"/>
    <w:rsid w:val="00567CF6"/>
    <w:rsid w:val="005E363C"/>
    <w:rsid w:val="005F42EC"/>
    <w:rsid w:val="0063725D"/>
    <w:rsid w:val="00686E54"/>
    <w:rsid w:val="006F4178"/>
    <w:rsid w:val="00751B8C"/>
    <w:rsid w:val="00780C56"/>
    <w:rsid w:val="007A00E0"/>
    <w:rsid w:val="007B58C8"/>
    <w:rsid w:val="007C328D"/>
    <w:rsid w:val="007C62D7"/>
    <w:rsid w:val="007E7F43"/>
    <w:rsid w:val="007F1A93"/>
    <w:rsid w:val="00823098"/>
    <w:rsid w:val="00865F24"/>
    <w:rsid w:val="00877482"/>
    <w:rsid w:val="008A3934"/>
    <w:rsid w:val="008C5374"/>
    <w:rsid w:val="008E5C06"/>
    <w:rsid w:val="00924D55"/>
    <w:rsid w:val="00943697"/>
    <w:rsid w:val="0094614B"/>
    <w:rsid w:val="009C10EF"/>
    <w:rsid w:val="009D0BF4"/>
    <w:rsid w:val="00A25168"/>
    <w:rsid w:val="00A805B3"/>
    <w:rsid w:val="00AA69E2"/>
    <w:rsid w:val="00B01BF6"/>
    <w:rsid w:val="00B47FC5"/>
    <w:rsid w:val="00B8090C"/>
    <w:rsid w:val="00BB3E91"/>
    <w:rsid w:val="00BE6CBB"/>
    <w:rsid w:val="00C0682B"/>
    <w:rsid w:val="00CA3EF7"/>
    <w:rsid w:val="00CC5D74"/>
    <w:rsid w:val="00CE467F"/>
    <w:rsid w:val="00D437EA"/>
    <w:rsid w:val="00D50D3A"/>
    <w:rsid w:val="00E25B0B"/>
    <w:rsid w:val="00E61C8C"/>
    <w:rsid w:val="00E65215"/>
    <w:rsid w:val="00EE1888"/>
    <w:rsid w:val="00F1093D"/>
    <w:rsid w:val="00F111F3"/>
    <w:rsid w:val="00F53934"/>
    <w:rsid w:val="00FB1F98"/>
    <w:rsid w:val="00FB444D"/>
    <w:rsid w:val="13E89684"/>
    <w:rsid w:val="17848C4C"/>
    <w:rsid w:val="65D2CBAF"/>
    <w:rsid w:val="717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03ED"/>
  <w15:chartTrackingRefBased/>
  <w15:docId w15:val="{FCBC8A53-8992-1E4B-ABC9-82A6050B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52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5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5215"/>
    <w:pPr>
      <w:ind w:left="720"/>
      <w:contextualSpacing/>
    </w:pPr>
  </w:style>
  <w:style w:type="table" w:styleId="TableGrid">
    <w:name w:val="Table Grid"/>
    <w:basedOn w:val="TableNormal"/>
    <w:uiPriority w:val="39"/>
    <w:rsid w:val="00EE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18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E188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51B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B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B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8D"/>
    <w:rPr>
      <w:rFonts w:ascii="Times New Roman" w:hAnsi="Times New Roman" w:cs="Times New Roman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93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e-a-screensho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unity.canvaslms.com/thread/22040-can-i-link-directly-to-a-canvas-page-or-assignment-from-a-mess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ab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113AB-C2B2-40AF-86D5-9CC9281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Howard</dc:creator>
  <cp:keywords/>
  <dc:description/>
  <cp:lastModifiedBy>Nicole Stahl</cp:lastModifiedBy>
  <cp:revision>4</cp:revision>
  <dcterms:created xsi:type="dcterms:W3CDTF">2019-08-08T15:10:00Z</dcterms:created>
  <dcterms:modified xsi:type="dcterms:W3CDTF">2019-08-08T15:23:00Z</dcterms:modified>
</cp:coreProperties>
</file>